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2C6" w:rsidRDefault="007172C6" w:rsidP="00060576">
      <w:pPr>
        <w:autoSpaceDE w:val="0"/>
        <w:autoSpaceDN w:val="0"/>
        <w:adjustRightInd w:val="0"/>
        <w:spacing w:after="0" w:line="240" w:lineRule="auto"/>
        <w:ind w:left="6480" w:firstLine="720"/>
        <w:rPr>
          <w:rFonts w:ascii="Arial" w:hAnsi="Arial" w:cs="Arial"/>
          <w:b/>
          <w:bCs/>
        </w:rPr>
      </w:pPr>
      <w:r>
        <w:rPr>
          <w:rFonts w:ascii="Arial" w:hAnsi="Arial" w:cs="Arial"/>
          <w:b/>
          <w:bCs/>
        </w:rPr>
        <w:t>APPENDIX E</w:t>
      </w:r>
    </w:p>
    <w:p w:rsidR="007172C6" w:rsidRDefault="007172C6" w:rsidP="007172C6">
      <w:pPr>
        <w:autoSpaceDE w:val="0"/>
        <w:autoSpaceDN w:val="0"/>
        <w:adjustRightInd w:val="0"/>
        <w:spacing w:after="0" w:line="240" w:lineRule="auto"/>
        <w:rPr>
          <w:rFonts w:ascii="Arial" w:hAnsi="Arial" w:cs="Arial"/>
        </w:rPr>
      </w:pPr>
      <w:bookmarkStart w:id="0" w:name="_GoBack"/>
      <w:bookmarkEnd w:id="0"/>
    </w:p>
    <w:p w:rsidR="007172C6" w:rsidRDefault="00060576" w:rsidP="007172C6">
      <w:pPr>
        <w:autoSpaceDE w:val="0"/>
        <w:autoSpaceDN w:val="0"/>
        <w:adjustRightInd w:val="0"/>
        <w:spacing w:after="0" w:line="240" w:lineRule="auto"/>
        <w:rPr>
          <w:rFonts w:ascii="Arial" w:hAnsi="Arial" w:cs="Arial"/>
          <w:b/>
          <w:bCs/>
          <w:sz w:val="24"/>
          <w:szCs w:val="24"/>
        </w:rPr>
      </w:pPr>
      <w:r w:rsidRPr="00060576">
        <w:rPr>
          <w:rFonts w:ascii="Arial" w:eastAsia="Times New Roman" w:hAnsi="Arial" w:cs="Times New Roman"/>
          <w:b/>
          <w:sz w:val="24"/>
          <w:szCs w:val="24"/>
          <w:lang w:eastAsia="en-GB"/>
        </w:rPr>
        <w:t>Investment Property Strategy</w:t>
      </w:r>
      <w:r>
        <w:rPr>
          <w:rFonts w:ascii="Arial" w:hAnsi="Arial" w:cs="Arial"/>
          <w:b/>
          <w:bCs/>
          <w:sz w:val="24"/>
          <w:szCs w:val="24"/>
        </w:rPr>
        <w:t xml:space="preserve"> </w:t>
      </w:r>
      <w:r w:rsidR="007172C6">
        <w:rPr>
          <w:rFonts w:ascii="Arial" w:hAnsi="Arial" w:cs="Arial"/>
          <w:b/>
          <w:bCs/>
          <w:sz w:val="24"/>
          <w:szCs w:val="24"/>
        </w:rPr>
        <w:t>2020/21</w:t>
      </w:r>
    </w:p>
    <w:p w:rsidR="00060576" w:rsidRDefault="00060576" w:rsidP="007172C6">
      <w:pPr>
        <w:autoSpaceDE w:val="0"/>
        <w:autoSpaceDN w:val="0"/>
        <w:adjustRightInd w:val="0"/>
        <w:spacing w:after="0" w:line="240" w:lineRule="auto"/>
        <w:rPr>
          <w:rFonts w:ascii="Arial" w:hAnsi="Arial" w:cs="Arial"/>
          <w:b/>
          <w:bCs/>
          <w:sz w:val="24"/>
          <w:szCs w:val="24"/>
        </w:rPr>
      </w:pPr>
    </w:p>
    <w:p w:rsidR="00060576" w:rsidRDefault="00060576" w:rsidP="007172C6">
      <w:pPr>
        <w:keepNext/>
        <w:spacing w:after="0" w:line="240" w:lineRule="auto"/>
        <w:outlineLvl w:val="0"/>
        <w:rPr>
          <w:rFonts w:ascii="Arial" w:hAnsi="Arial" w:cs="Arial"/>
          <w:b/>
          <w:bCs/>
        </w:rPr>
      </w:pPr>
    </w:p>
    <w:p w:rsidR="00E83842" w:rsidRPr="00E83842" w:rsidRDefault="00E83842" w:rsidP="007172C6">
      <w:pPr>
        <w:keepNext/>
        <w:spacing w:after="0" w:line="240" w:lineRule="auto"/>
        <w:outlineLvl w:val="0"/>
        <w:rPr>
          <w:rFonts w:ascii="Arial" w:eastAsia="Times New Roman" w:hAnsi="Arial" w:cs="Times New Roman"/>
          <w:b/>
          <w:lang w:eastAsia="en-GB"/>
        </w:rPr>
      </w:pPr>
      <w:r w:rsidRPr="00E83842">
        <w:rPr>
          <w:rFonts w:ascii="Arial" w:eastAsia="Times New Roman" w:hAnsi="Arial" w:cs="Times New Roman"/>
          <w:b/>
          <w:lang w:eastAsia="en-GB"/>
        </w:rPr>
        <w:t xml:space="preserve">PURPOSE </w:t>
      </w:r>
    </w:p>
    <w:p w:rsidR="00E83842" w:rsidRPr="00E83842" w:rsidRDefault="00E83842" w:rsidP="00E83842">
      <w:pPr>
        <w:keepNext/>
        <w:spacing w:after="0" w:line="240" w:lineRule="auto"/>
        <w:outlineLvl w:val="0"/>
        <w:rPr>
          <w:rFonts w:ascii="Arial" w:eastAsia="Times New Roman" w:hAnsi="Arial" w:cs="Times New Roman"/>
          <w:b/>
          <w:lang w:eastAsia="en-GB"/>
        </w:rPr>
      </w:pPr>
    </w:p>
    <w:p w:rsidR="00E83842" w:rsidRDefault="00E83842" w:rsidP="00E83842">
      <w:pPr>
        <w:keepNext/>
        <w:numPr>
          <w:ilvl w:val="0"/>
          <w:numId w:val="7"/>
        </w:numPr>
        <w:spacing w:after="0" w:line="240" w:lineRule="auto"/>
        <w:contextualSpacing/>
        <w:outlineLvl w:val="0"/>
        <w:rPr>
          <w:rFonts w:ascii="Arial" w:eastAsia="Calibri" w:hAnsi="Arial" w:cs="Times New Roman"/>
        </w:rPr>
      </w:pPr>
      <w:r w:rsidRPr="00E83842">
        <w:rPr>
          <w:rFonts w:ascii="Arial" w:eastAsia="Calibri" w:hAnsi="Arial" w:cs="Times New Roman"/>
        </w:rPr>
        <w:t>The purpose of this report is to se</w:t>
      </w:r>
      <w:r w:rsidR="00F71451" w:rsidRPr="00F71451">
        <w:rPr>
          <w:rFonts w:ascii="Arial" w:eastAsia="Calibri" w:hAnsi="Arial" w:cs="Times New Roman"/>
        </w:rPr>
        <w:t xml:space="preserve">ek </w:t>
      </w:r>
      <w:r w:rsidR="00AE61B3">
        <w:rPr>
          <w:rFonts w:ascii="Arial" w:eastAsia="Calibri" w:hAnsi="Arial" w:cs="Times New Roman"/>
        </w:rPr>
        <w:t xml:space="preserve">Council </w:t>
      </w:r>
      <w:r w:rsidR="00F71451" w:rsidRPr="00F71451">
        <w:rPr>
          <w:rFonts w:ascii="Arial" w:eastAsia="Calibri" w:hAnsi="Arial" w:cs="Times New Roman"/>
        </w:rPr>
        <w:t>approval for a revised Investment Property Strategy</w:t>
      </w:r>
      <w:r w:rsidR="00D4375D">
        <w:rPr>
          <w:rFonts w:ascii="Arial" w:eastAsia="Calibri" w:hAnsi="Arial" w:cs="Times New Roman"/>
        </w:rPr>
        <w:t>.</w:t>
      </w:r>
      <w:r w:rsidR="00F71451" w:rsidRPr="00F71451">
        <w:rPr>
          <w:rFonts w:ascii="Arial" w:eastAsia="Calibri" w:hAnsi="Arial" w:cs="Times New Roman"/>
        </w:rPr>
        <w:t xml:space="preserve"> </w:t>
      </w:r>
    </w:p>
    <w:p w:rsidR="00F71451" w:rsidRPr="00E83842" w:rsidRDefault="00F71451" w:rsidP="00F71451">
      <w:pPr>
        <w:keepNext/>
        <w:spacing w:after="0" w:line="240" w:lineRule="auto"/>
        <w:contextualSpacing/>
        <w:outlineLvl w:val="0"/>
        <w:rPr>
          <w:rFonts w:ascii="Arial" w:eastAsia="Calibri" w:hAnsi="Arial" w:cs="Times New Roman"/>
        </w:rPr>
      </w:pPr>
    </w:p>
    <w:p w:rsidR="00E83842" w:rsidRPr="0014194E" w:rsidRDefault="00E83842" w:rsidP="0014194E">
      <w:pPr>
        <w:spacing w:after="0" w:line="240" w:lineRule="auto"/>
        <w:rPr>
          <w:rFonts w:ascii="Arial" w:eastAsia="Times New Roman" w:hAnsi="Arial" w:cs="Arial"/>
          <w:b/>
          <w:szCs w:val="20"/>
          <w:lang w:eastAsia="en-GB"/>
        </w:rPr>
      </w:pPr>
      <w:r w:rsidRPr="0014194E">
        <w:rPr>
          <w:rFonts w:ascii="Arial" w:eastAsia="Times New Roman" w:hAnsi="Arial" w:cs="Arial"/>
          <w:b/>
          <w:szCs w:val="20"/>
          <w:lang w:eastAsia="en-GB"/>
        </w:rPr>
        <w:t xml:space="preserve">BACKGROUND </w:t>
      </w:r>
    </w:p>
    <w:p w:rsidR="0014194E" w:rsidRDefault="0014194E" w:rsidP="0014194E">
      <w:pPr>
        <w:spacing w:after="0" w:line="240" w:lineRule="auto"/>
        <w:rPr>
          <w:rFonts w:ascii="Arial" w:eastAsia="Times New Roman" w:hAnsi="Arial" w:cs="Times New Roman"/>
          <w:b/>
          <w:szCs w:val="20"/>
          <w:lang w:eastAsia="en-GB"/>
        </w:rPr>
      </w:pPr>
    </w:p>
    <w:p w:rsidR="00B54766" w:rsidRPr="00B54766" w:rsidRDefault="0014194E" w:rsidP="00B54766">
      <w:pPr>
        <w:pStyle w:val="ListParagraph"/>
        <w:numPr>
          <w:ilvl w:val="0"/>
          <w:numId w:val="7"/>
        </w:numPr>
        <w:autoSpaceDE w:val="0"/>
        <w:autoSpaceDN w:val="0"/>
        <w:adjustRightInd w:val="0"/>
        <w:spacing w:after="0" w:line="240" w:lineRule="auto"/>
        <w:rPr>
          <w:rFonts w:eastAsia="Times New Roman"/>
          <w:b/>
          <w:szCs w:val="20"/>
          <w:lang w:eastAsia="en-GB"/>
        </w:rPr>
      </w:pPr>
      <w:r w:rsidRPr="00B54766">
        <w:rPr>
          <w:rFonts w:ascii="ArialMT" w:hAnsi="ArialMT" w:cs="ArialMT"/>
        </w:rPr>
        <w:t>In its budget for 2017/18</w:t>
      </w:r>
      <w:r w:rsidR="0031393D">
        <w:rPr>
          <w:rFonts w:ascii="ArialMT" w:hAnsi="ArialMT" w:cs="ArialMT"/>
        </w:rPr>
        <w:t>,</w:t>
      </w:r>
      <w:r w:rsidRPr="00B54766">
        <w:rPr>
          <w:rFonts w:ascii="ArialMT" w:hAnsi="ArialMT" w:cs="ArialMT"/>
        </w:rPr>
        <w:t xml:space="preserve"> the Council identified investment in commercial property as an opportunity to increase its income whilst protecting its capital. </w:t>
      </w:r>
      <w:r w:rsidR="007A49F5" w:rsidRPr="00B54766">
        <w:rPr>
          <w:rFonts w:ascii="ArialMT" w:hAnsi="ArialMT" w:cs="ArialMT"/>
        </w:rPr>
        <w:t xml:space="preserve">An income target was </w:t>
      </w:r>
      <w:r w:rsidR="00AE61B3" w:rsidRPr="00B54766">
        <w:rPr>
          <w:rFonts w:ascii="ArialMT" w:hAnsi="ArialMT" w:cs="ArialMT"/>
        </w:rPr>
        <w:t>established,</w:t>
      </w:r>
      <w:r w:rsidR="007A49F5" w:rsidRPr="00B54766">
        <w:rPr>
          <w:rFonts w:ascii="ArialMT" w:hAnsi="ArialMT" w:cs="ArialMT"/>
        </w:rPr>
        <w:t xml:space="preserve"> and a Borough Investment Fund created in the council’s earmarked reserves. </w:t>
      </w:r>
      <w:r w:rsidRPr="00B54766">
        <w:rPr>
          <w:rFonts w:ascii="ArialMT" w:hAnsi="ArialMT" w:cs="ArialMT"/>
        </w:rPr>
        <w:t>Governance arrangements were developed over the following months and agreed at Cabinet on 6</w:t>
      </w:r>
      <w:r w:rsidRPr="00B54766">
        <w:rPr>
          <w:rFonts w:ascii="ArialMT" w:hAnsi="ArialMT" w:cs="ArialMT"/>
          <w:sz w:val="14"/>
          <w:szCs w:val="14"/>
        </w:rPr>
        <w:t xml:space="preserve"> </w:t>
      </w:r>
      <w:r w:rsidRPr="00B54766">
        <w:rPr>
          <w:rFonts w:ascii="ArialMT" w:hAnsi="ArialMT" w:cs="ArialMT"/>
        </w:rPr>
        <w:t xml:space="preserve">December 2017. At that meeting it was agreed to procure specialist advice. </w:t>
      </w:r>
    </w:p>
    <w:p w:rsidR="00B54766" w:rsidRPr="00B54766" w:rsidRDefault="00B54766" w:rsidP="00B54766">
      <w:pPr>
        <w:autoSpaceDE w:val="0"/>
        <w:autoSpaceDN w:val="0"/>
        <w:adjustRightInd w:val="0"/>
        <w:spacing w:after="0" w:line="240" w:lineRule="auto"/>
        <w:rPr>
          <w:rFonts w:eastAsia="Times New Roman"/>
          <w:b/>
          <w:szCs w:val="20"/>
          <w:lang w:eastAsia="en-GB"/>
        </w:rPr>
      </w:pPr>
    </w:p>
    <w:p w:rsidR="007A49F5" w:rsidRPr="00442E7C" w:rsidRDefault="00B54766" w:rsidP="007A49F5">
      <w:pPr>
        <w:pStyle w:val="ListParagraph"/>
        <w:numPr>
          <w:ilvl w:val="0"/>
          <w:numId w:val="7"/>
        </w:numPr>
        <w:autoSpaceDE w:val="0"/>
        <w:autoSpaceDN w:val="0"/>
        <w:adjustRightInd w:val="0"/>
        <w:spacing w:after="0" w:line="240" w:lineRule="auto"/>
        <w:rPr>
          <w:rFonts w:ascii="ArialMT" w:hAnsi="ArialMT" w:cs="ArialMT"/>
        </w:rPr>
      </w:pPr>
      <w:r w:rsidRPr="00B54766">
        <w:rPr>
          <w:rFonts w:ascii="ArialMT" w:hAnsi="ArialMT" w:cs="ArialMT"/>
        </w:rPr>
        <w:t xml:space="preserve">Professional advisors </w:t>
      </w:r>
      <w:r w:rsidR="0014194E" w:rsidRPr="00B54766">
        <w:rPr>
          <w:rFonts w:ascii="ArialMT" w:hAnsi="ArialMT" w:cs="ArialMT"/>
        </w:rPr>
        <w:t>LSHIM were</w:t>
      </w:r>
      <w:r w:rsidR="007A49F5" w:rsidRPr="00B54766">
        <w:rPr>
          <w:rFonts w:ascii="ArialMT" w:hAnsi="ArialMT" w:cs="ArialMT"/>
        </w:rPr>
        <w:t xml:space="preserve"> </w:t>
      </w:r>
      <w:r w:rsidR="0014194E" w:rsidRPr="00B54766">
        <w:rPr>
          <w:rFonts w:ascii="ArialMT" w:hAnsi="ArialMT" w:cs="ArialMT"/>
        </w:rPr>
        <w:t>subsequently</w:t>
      </w:r>
      <w:r w:rsidRPr="00B54766">
        <w:rPr>
          <w:rFonts w:ascii="ArialMT" w:hAnsi="ArialMT" w:cs="ArialMT"/>
        </w:rPr>
        <w:t xml:space="preserve"> procured to seek out external property investment opportunities</w:t>
      </w:r>
      <w:r w:rsidR="0014194E" w:rsidRPr="00B54766">
        <w:rPr>
          <w:rFonts w:ascii="ArialMT" w:hAnsi="ArialMT" w:cs="ArialMT"/>
        </w:rPr>
        <w:t xml:space="preserve"> and appointed in March 2018.</w:t>
      </w:r>
      <w:r>
        <w:rPr>
          <w:rFonts w:ascii="ArialMT" w:hAnsi="ArialMT" w:cs="ArialMT"/>
        </w:rPr>
        <w:t xml:space="preserve"> </w:t>
      </w:r>
      <w:r w:rsidR="007A49F5" w:rsidRPr="00B54766">
        <w:rPr>
          <w:rFonts w:ascii="ArialMT" w:hAnsi="ArialMT" w:cs="ArialMT"/>
        </w:rPr>
        <w:t>In Apr</w:t>
      </w:r>
      <w:r w:rsidR="003569EE" w:rsidRPr="00B54766">
        <w:rPr>
          <w:rFonts w:ascii="ArialMT" w:hAnsi="ArialMT" w:cs="ArialMT"/>
        </w:rPr>
        <w:t xml:space="preserve">il </w:t>
      </w:r>
      <w:r w:rsidR="007A49F5" w:rsidRPr="00B54766">
        <w:rPr>
          <w:rFonts w:ascii="ArialMT" w:hAnsi="ArialMT" w:cs="ArialMT"/>
        </w:rPr>
        <w:t xml:space="preserve">2018 </w:t>
      </w:r>
      <w:r w:rsidR="003569EE" w:rsidRPr="00B54766">
        <w:rPr>
          <w:rFonts w:ascii="ArialMT" w:hAnsi="ArialMT" w:cs="ArialMT"/>
        </w:rPr>
        <w:t>w</w:t>
      </w:r>
      <w:r w:rsidR="007A49F5" w:rsidRPr="00B54766">
        <w:rPr>
          <w:rFonts w:ascii="ArialMT" w:hAnsi="ArialMT" w:cs="ArialMT"/>
        </w:rPr>
        <w:t xml:space="preserve">orkshops </w:t>
      </w:r>
      <w:r w:rsidR="003569EE" w:rsidRPr="00B54766">
        <w:rPr>
          <w:rFonts w:ascii="ArialMT" w:hAnsi="ArialMT" w:cs="ArialMT"/>
        </w:rPr>
        <w:t xml:space="preserve">were held at the </w:t>
      </w:r>
      <w:r w:rsidR="007A49F5" w:rsidRPr="00B54766">
        <w:rPr>
          <w:rFonts w:ascii="ArialMT" w:hAnsi="ArialMT" w:cs="ArialMT"/>
        </w:rPr>
        <w:t xml:space="preserve">Civic Centre with </w:t>
      </w:r>
      <w:r w:rsidRPr="00B54766">
        <w:rPr>
          <w:rFonts w:ascii="ArialMT" w:hAnsi="ArialMT" w:cs="ArialMT"/>
        </w:rPr>
        <w:t xml:space="preserve">LSHIM, </w:t>
      </w:r>
      <w:r w:rsidR="007A49F5" w:rsidRPr="00B54766">
        <w:rPr>
          <w:rFonts w:ascii="ArialMT" w:hAnsi="ArialMT" w:cs="ArialMT"/>
        </w:rPr>
        <w:t>Members of the Cabinet and the</w:t>
      </w:r>
      <w:r w:rsidR="003569EE" w:rsidRPr="00B54766">
        <w:rPr>
          <w:rFonts w:ascii="ArialMT" w:hAnsi="ArialMT" w:cs="ArialMT"/>
        </w:rPr>
        <w:t xml:space="preserve"> </w:t>
      </w:r>
      <w:r w:rsidR="007A49F5" w:rsidRPr="00B54766">
        <w:rPr>
          <w:rFonts w:ascii="ArialMT" w:hAnsi="ArialMT" w:cs="ArialMT"/>
        </w:rPr>
        <w:t>Asset Working Group outlining the staged approach to identifying and selecting investment</w:t>
      </w:r>
      <w:r w:rsidR="003569EE" w:rsidRPr="00B54766">
        <w:rPr>
          <w:rFonts w:ascii="ArialMT" w:hAnsi="ArialMT" w:cs="ArialMT"/>
        </w:rPr>
        <w:t xml:space="preserve"> </w:t>
      </w:r>
      <w:r w:rsidR="007A49F5" w:rsidRPr="00B54766">
        <w:rPr>
          <w:rFonts w:ascii="ArialMT" w:hAnsi="ArialMT" w:cs="ArialMT"/>
        </w:rPr>
        <w:t xml:space="preserve">opportunities. The Investment Strategy </w:t>
      </w:r>
      <w:r w:rsidR="003569EE" w:rsidRPr="00B54766">
        <w:rPr>
          <w:rFonts w:ascii="ArialMT" w:hAnsi="ArialMT" w:cs="ArialMT"/>
        </w:rPr>
        <w:t xml:space="preserve">was </w:t>
      </w:r>
      <w:r w:rsidR="007A49F5" w:rsidRPr="00B54766">
        <w:rPr>
          <w:rFonts w:ascii="ArialMT" w:hAnsi="ArialMT" w:cs="ArialMT"/>
        </w:rPr>
        <w:t xml:space="preserve">revised following those workshops and </w:t>
      </w:r>
      <w:r w:rsidR="003569EE" w:rsidRPr="007A49F5">
        <w:t>approved by Cabinet on 21 June 2018</w:t>
      </w:r>
      <w:r>
        <w:t>.</w:t>
      </w:r>
    </w:p>
    <w:p w:rsidR="00442E7C" w:rsidRPr="00442E7C" w:rsidRDefault="00442E7C" w:rsidP="00442E7C">
      <w:pPr>
        <w:autoSpaceDE w:val="0"/>
        <w:autoSpaceDN w:val="0"/>
        <w:adjustRightInd w:val="0"/>
        <w:spacing w:after="0" w:line="240" w:lineRule="auto"/>
        <w:rPr>
          <w:rFonts w:ascii="ArialMT" w:hAnsi="ArialMT" w:cs="ArialMT"/>
        </w:rPr>
      </w:pPr>
    </w:p>
    <w:p w:rsidR="00011083" w:rsidRPr="00011083" w:rsidRDefault="00011083" w:rsidP="00011083">
      <w:pPr>
        <w:pStyle w:val="NoSpacing"/>
        <w:numPr>
          <w:ilvl w:val="0"/>
          <w:numId w:val="7"/>
        </w:numPr>
      </w:pPr>
      <w:r w:rsidRPr="00011083">
        <w:rPr>
          <w:rFonts w:ascii="ArialMT" w:hAnsi="ArialMT" w:cs="ArialMT"/>
        </w:rPr>
        <w:t xml:space="preserve">The </w:t>
      </w:r>
      <w:r w:rsidR="0031393D">
        <w:rPr>
          <w:rFonts w:ascii="ArialMT" w:hAnsi="ArialMT" w:cs="ArialMT"/>
        </w:rPr>
        <w:t>I</w:t>
      </w:r>
      <w:r w:rsidRPr="00011083">
        <w:rPr>
          <w:rFonts w:ascii="ArialMT" w:hAnsi="ArialMT" w:cs="ArialMT"/>
        </w:rPr>
        <w:t xml:space="preserve">nvestment </w:t>
      </w:r>
      <w:r w:rsidR="0031393D">
        <w:rPr>
          <w:rFonts w:ascii="ArialMT" w:hAnsi="ArialMT" w:cs="ArialMT"/>
        </w:rPr>
        <w:t>P</w:t>
      </w:r>
      <w:r w:rsidRPr="00011083">
        <w:rPr>
          <w:rFonts w:ascii="ArialMT" w:hAnsi="ArialMT" w:cs="ArialMT"/>
        </w:rPr>
        <w:t xml:space="preserve">roperty </w:t>
      </w:r>
      <w:r w:rsidR="0031393D">
        <w:rPr>
          <w:rFonts w:ascii="ArialMT" w:hAnsi="ArialMT" w:cs="ArialMT"/>
        </w:rPr>
        <w:t>S</w:t>
      </w:r>
      <w:r w:rsidRPr="00011083">
        <w:rPr>
          <w:rFonts w:ascii="ArialMT" w:hAnsi="ArialMT" w:cs="ArialMT"/>
        </w:rPr>
        <w:t>trategy is just one element of the Council’s property strategy that is solely for investment purposes. I</w:t>
      </w:r>
      <w:r w:rsidR="00B54766" w:rsidRPr="00011083">
        <w:t xml:space="preserve">n January, Cabinet approved a review to be undertaken of the Council’s commercial investment property portfolio which will assess the performance of assets, develop the asset management plan and inform strategy for acquisitions and disposals.  </w:t>
      </w:r>
    </w:p>
    <w:p w:rsidR="00011083" w:rsidRPr="0031393D" w:rsidRDefault="00011083" w:rsidP="00011083">
      <w:pPr>
        <w:pStyle w:val="NoSpacing"/>
      </w:pPr>
    </w:p>
    <w:p w:rsidR="009757C0" w:rsidRPr="009757C0" w:rsidRDefault="00E83842" w:rsidP="006E655C">
      <w:pPr>
        <w:pStyle w:val="ListParagraph"/>
        <w:numPr>
          <w:ilvl w:val="0"/>
          <w:numId w:val="7"/>
        </w:numPr>
        <w:autoSpaceDE w:val="0"/>
        <w:autoSpaceDN w:val="0"/>
        <w:adjustRightInd w:val="0"/>
        <w:spacing w:after="0" w:line="240" w:lineRule="auto"/>
      </w:pPr>
      <w:r w:rsidRPr="009757C0">
        <w:rPr>
          <w:rFonts w:cs="Arial"/>
        </w:rPr>
        <w:t xml:space="preserve">The Borough Investment reserve was originally set up as a fund to purchase investment property to generate revenue returns (commercial rents) to the Council. </w:t>
      </w:r>
      <w:r w:rsidR="009757C0" w:rsidRPr="009757C0">
        <w:rPr>
          <w:rFonts w:cs="Arial"/>
        </w:rPr>
        <w:t xml:space="preserve">The key themes in the approved strategy are for this funding be aimed at low risk, </w:t>
      </w:r>
      <w:r w:rsidR="009757C0" w:rsidRPr="009757C0">
        <w:rPr>
          <w:rFonts w:ascii="ArialMT" w:hAnsi="ArialMT" w:cs="ArialMT"/>
        </w:rPr>
        <w:t xml:space="preserve">long term investments with a sustainable income stream that preserves capital. </w:t>
      </w:r>
      <w:r w:rsidR="00AE61B3" w:rsidRPr="009757C0">
        <w:rPr>
          <w:rFonts w:cs="Arial"/>
        </w:rPr>
        <w:t xml:space="preserve">Despite employing professional advisors </w:t>
      </w:r>
      <w:r w:rsidR="00D45EA2">
        <w:rPr>
          <w:rFonts w:cs="Arial"/>
        </w:rPr>
        <w:t xml:space="preserve">for two years </w:t>
      </w:r>
      <w:r w:rsidR="00AE61B3" w:rsidRPr="009757C0">
        <w:rPr>
          <w:rFonts w:cs="Arial"/>
        </w:rPr>
        <w:t xml:space="preserve">to identify and assess potential acquisitions, </w:t>
      </w:r>
      <w:r w:rsidR="000A5189">
        <w:rPr>
          <w:rFonts w:cs="Arial"/>
        </w:rPr>
        <w:t xml:space="preserve">since the strategy was approved </w:t>
      </w:r>
      <w:r w:rsidR="00AE61B3" w:rsidRPr="009757C0">
        <w:rPr>
          <w:rFonts w:cs="Arial"/>
        </w:rPr>
        <w:t xml:space="preserve">no suitable investments have been identified that meet </w:t>
      </w:r>
      <w:r w:rsidR="000A5189">
        <w:rPr>
          <w:rFonts w:cs="Arial"/>
        </w:rPr>
        <w:t xml:space="preserve">all </w:t>
      </w:r>
      <w:r w:rsidR="009757C0" w:rsidRPr="009757C0">
        <w:rPr>
          <w:rFonts w:cs="Arial"/>
        </w:rPr>
        <w:t xml:space="preserve">these key criteria. </w:t>
      </w:r>
    </w:p>
    <w:p w:rsidR="009757C0" w:rsidRDefault="009757C0" w:rsidP="009757C0">
      <w:pPr>
        <w:pStyle w:val="ListParagraph"/>
      </w:pPr>
    </w:p>
    <w:p w:rsidR="009757C0" w:rsidRDefault="009757C0" w:rsidP="009757C0">
      <w:pPr>
        <w:spacing w:after="0" w:line="240" w:lineRule="auto"/>
        <w:rPr>
          <w:rFonts w:ascii="Arial" w:eastAsia="Times New Roman" w:hAnsi="Arial" w:cs="Arial"/>
          <w:b/>
          <w:szCs w:val="20"/>
          <w:lang w:eastAsia="en-GB"/>
        </w:rPr>
      </w:pPr>
      <w:r w:rsidRPr="00451045">
        <w:rPr>
          <w:rFonts w:ascii="Arial" w:eastAsia="Times New Roman" w:hAnsi="Arial" w:cs="Arial"/>
          <w:b/>
          <w:szCs w:val="20"/>
          <w:lang w:eastAsia="en-GB"/>
        </w:rPr>
        <w:t xml:space="preserve">PROPOSALS </w:t>
      </w:r>
    </w:p>
    <w:p w:rsidR="00451045" w:rsidRPr="00451045" w:rsidRDefault="00451045" w:rsidP="009757C0">
      <w:pPr>
        <w:spacing w:after="0" w:line="240" w:lineRule="auto"/>
        <w:rPr>
          <w:rFonts w:ascii="Arial" w:eastAsia="Times New Roman" w:hAnsi="Arial" w:cs="Arial"/>
          <w:b/>
          <w:szCs w:val="20"/>
          <w:lang w:eastAsia="en-GB"/>
        </w:rPr>
      </w:pPr>
    </w:p>
    <w:p w:rsidR="00D42AEE" w:rsidRDefault="00AB5805" w:rsidP="00A96A6E">
      <w:pPr>
        <w:pStyle w:val="ListParagraph"/>
        <w:numPr>
          <w:ilvl w:val="0"/>
          <w:numId w:val="7"/>
        </w:numPr>
        <w:autoSpaceDE w:val="0"/>
        <w:autoSpaceDN w:val="0"/>
        <w:adjustRightInd w:val="0"/>
        <w:spacing w:after="0" w:line="240" w:lineRule="auto"/>
      </w:pPr>
      <w:r>
        <w:t xml:space="preserve">The council actively manages its cash investments within the </w:t>
      </w:r>
      <w:r w:rsidR="00163FA5">
        <w:t>p</w:t>
      </w:r>
      <w:r>
        <w:t>aramete</w:t>
      </w:r>
      <w:r w:rsidR="00163FA5">
        <w:t>rs of the Treasury Management and Investment Strategies. The bank rate is currently at 0.75% and, as set out in the</w:t>
      </w:r>
      <w:r w:rsidR="00163FA5" w:rsidRPr="00163FA5">
        <w:t xml:space="preserve"> </w:t>
      </w:r>
      <w:r w:rsidR="00163FA5">
        <w:t xml:space="preserve">Treasury Management and Investment Strategies, the forecast rise in the next couple of years is minimal. </w:t>
      </w:r>
      <w:r w:rsidR="00D42AEE">
        <w:t>I</w:t>
      </w:r>
      <w:r w:rsidR="00163FA5">
        <w:t xml:space="preserve">n order to secure better returns on the Council’s cash resources long-term, other investment options </w:t>
      </w:r>
      <w:r w:rsidR="00D42AEE">
        <w:t>need to be identified.</w:t>
      </w:r>
    </w:p>
    <w:p w:rsidR="00D42AEE" w:rsidRDefault="00D42AEE" w:rsidP="00D42AEE">
      <w:pPr>
        <w:autoSpaceDE w:val="0"/>
        <w:autoSpaceDN w:val="0"/>
        <w:adjustRightInd w:val="0"/>
        <w:spacing w:after="0" w:line="240" w:lineRule="auto"/>
      </w:pPr>
    </w:p>
    <w:p w:rsidR="00D42AEE" w:rsidRDefault="00D42AEE" w:rsidP="00D42AEE">
      <w:pPr>
        <w:pStyle w:val="ListParagraph"/>
        <w:numPr>
          <w:ilvl w:val="0"/>
          <w:numId w:val="7"/>
        </w:numPr>
        <w:autoSpaceDE w:val="0"/>
        <w:autoSpaceDN w:val="0"/>
        <w:adjustRightInd w:val="0"/>
        <w:spacing w:after="0" w:line="240" w:lineRule="auto"/>
      </w:pPr>
      <w:r>
        <w:t>There is therefore an opportunity to re-define the purpose and future application of the Borough Investment reserve, which currently has a balance of £4,594,000.</w:t>
      </w:r>
    </w:p>
    <w:p w:rsidR="00D42AEE" w:rsidRDefault="00D42AEE" w:rsidP="00D42AEE">
      <w:pPr>
        <w:autoSpaceDE w:val="0"/>
        <w:autoSpaceDN w:val="0"/>
        <w:adjustRightInd w:val="0"/>
        <w:spacing w:after="0" w:line="240" w:lineRule="auto"/>
      </w:pPr>
    </w:p>
    <w:p w:rsidR="009757C0" w:rsidRPr="009757C0" w:rsidRDefault="00FC2EC0" w:rsidP="00A96A6E">
      <w:pPr>
        <w:pStyle w:val="ListParagraph"/>
        <w:numPr>
          <w:ilvl w:val="0"/>
          <w:numId w:val="7"/>
        </w:numPr>
        <w:autoSpaceDE w:val="0"/>
        <w:autoSpaceDN w:val="0"/>
        <w:adjustRightInd w:val="0"/>
        <w:spacing w:after="0" w:line="240" w:lineRule="auto"/>
      </w:pPr>
      <w:r>
        <w:t xml:space="preserve">Where the previous strategy was focussed </w:t>
      </w:r>
      <w:r w:rsidR="00F24E1D">
        <w:t xml:space="preserve">purely </w:t>
      </w:r>
      <w:r>
        <w:t xml:space="preserve">on achieving a commercial rate of return, albeit whilst still seeking to protecting the council’s finances, there is an opportunity to </w:t>
      </w:r>
      <w:r w:rsidR="00F24E1D">
        <w:t xml:space="preserve">still </w:t>
      </w:r>
      <w:r w:rsidR="00AB5805">
        <w:t xml:space="preserve">achieve a </w:t>
      </w:r>
      <w:r w:rsidR="00F24E1D">
        <w:t xml:space="preserve">better </w:t>
      </w:r>
      <w:r w:rsidR="00AB5805">
        <w:t xml:space="preserve">return on the Council’s investments </w:t>
      </w:r>
      <w:r w:rsidR="00F24E1D">
        <w:t xml:space="preserve">but with added benefits to the local community and with a consideration of the environmental impacts. </w:t>
      </w:r>
      <w:r w:rsidR="00A50F88">
        <w:t xml:space="preserve">It is proposed that the funding is restricted to investment inside the Borough only. </w:t>
      </w:r>
      <w:r w:rsidR="00AB5805">
        <w:t xml:space="preserve"> </w:t>
      </w:r>
      <w:r>
        <w:t xml:space="preserve">    </w:t>
      </w:r>
    </w:p>
    <w:p w:rsidR="009757C0" w:rsidRPr="009757C0" w:rsidRDefault="009757C0" w:rsidP="009757C0">
      <w:pPr>
        <w:pStyle w:val="ListParagraph"/>
        <w:rPr>
          <w:rFonts w:cs="Arial"/>
        </w:rPr>
      </w:pPr>
    </w:p>
    <w:p w:rsidR="006F11F3" w:rsidRDefault="006F11F3" w:rsidP="006F11F3">
      <w:pPr>
        <w:pStyle w:val="ListParagraph"/>
      </w:pPr>
    </w:p>
    <w:p w:rsidR="006F11F3" w:rsidRDefault="006F11F3" w:rsidP="006F11F3">
      <w:pPr>
        <w:rPr>
          <w:rFonts w:ascii="Arial" w:eastAsia="Times New Roman" w:hAnsi="Arial" w:cs="Arial"/>
          <w:b/>
        </w:rPr>
      </w:pPr>
      <w:r w:rsidRPr="006F11F3">
        <w:rPr>
          <w:rFonts w:ascii="Arial" w:eastAsia="Times New Roman" w:hAnsi="Arial" w:cs="Arial"/>
          <w:b/>
        </w:rPr>
        <w:lastRenderedPageBreak/>
        <w:t xml:space="preserve">INVESTMENT PROPERTY STRATEGY – CORE PRINCIPLES </w:t>
      </w:r>
    </w:p>
    <w:p w:rsidR="006F11F3" w:rsidRDefault="006F11F3" w:rsidP="00345D9C">
      <w:pPr>
        <w:pStyle w:val="NoSpacing"/>
        <w:numPr>
          <w:ilvl w:val="0"/>
          <w:numId w:val="7"/>
        </w:numPr>
      </w:pPr>
      <w:r w:rsidRPr="006F11F3">
        <w:t>This revised Investment Property is based on the following set of principles:</w:t>
      </w:r>
    </w:p>
    <w:p w:rsidR="00345D9C" w:rsidRPr="00345D9C" w:rsidRDefault="00345D9C" w:rsidP="00345D9C">
      <w:pPr>
        <w:pStyle w:val="NoSpacing"/>
      </w:pPr>
    </w:p>
    <w:p w:rsidR="006F11F3" w:rsidRDefault="00345D9C" w:rsidP="00345D9C">
      <w:pPr>
        <w:pStyle w:val="NoSpacing"/>
        <w:numPr>
          <w:ilvl w:val="0"/>
          <w:numId w:val="31"/>
        </w:numPr>
      </w:pPr>
      <w:r>
        <w:t>Funding will only be applied to investments in the Borough</w:t>
      </w:r>
      <w:r w:rsidR="00763FEC">
        <w:t xml:space="preserve"> </w:t>
      </w:r>
    </w:p>
    <w:p w:rsidR="00763FEC" w:rsidRDefault="00763FEC" w:rsidP="00763FEC">
      <w:pPr>
        <w:pStyle w:val="NoSpacing"/>
        <w:numPr>
          <w:ilvl w:val="0"/>
          <w:numId w:val="31"/>
        </w:numPr>
      </w:pPr>
      <w:r>
        <w:t>The Borough Investment Fund will only be applied to schemes which improve the Borough and are revenue generating</w:t>
      </w:r>
    </w:p>
    <w:p w:rsidR="00345D9C" w:rsidRDefault="00345D9C" w:rsidP="00345D9C">
      <w:pPr>
        <w:pStyle w:val="NoSpacing"/>
        <w:numPr>
          <w:ilvl w:val="0"/>
          <w:numId w:val="31"/>
        </w:numPr>
      </w:pPr>
      <w:r>
        <w:t>The expected return on the investment must be more than the average interest rate which could be earned if the cash was placed with approved investment counterparties</w:t>
      </w:r>
    </w:p>
    <w:p w:rsidR="00345D9C" w:rsidRDefault="00763FEC" w:rsidP="00345D9C">
      <w:pPr>
        <w:pStyle w:val="NoSpacing"/>
        <w:numPr>
          <w:ilvl w:val="0"/>
          <w:numId w:val="31"/>
        </w:numPr>
      </w:pPr>
      <w:r>
        <w:t xml:space="preserve">The </w:t>
      </w:r>
      <w:bookmarkStart w:id="1" w:name="_Hlk32580984"/>
      <w:r>
        <w:t xml:space="preserve">Borough Investment Fund </w:t>
      </w:r>
      <w:bookmarkEnd w:id="1"/>
      <w:r>
        <w:t>is a recurring fund and returns must be repaid back into this reserve</w:t>
      </w:r>
      <w:r w:rsidR="00345D9C">
        <w:t xml:space="preserve">  </w:t>
      </w:r>
    </w:p>
    <w:p w:rsidR="00345D9C" w:rsidRPr="006F11F3" w:rsidRDefault="00345D9C" w:rsidP="00345D9C">
      <w:pPr>
        <w:pStyle w:val="NoSpacing"/>
      </w:pPr>
    </w:p>
    <w:p w:rsidR="006F11F3" w:rsidRPr="00F435E4" w:rsidRDefault="006F11F3" w:rsidP="006F11F3">
      <w:pPr>
        <w:pStyle w:val="NoSpacing"/>
        <w:numPr>
          <w:ilvl w:val="0"/>
          <w:numId w:val="7"/>
        </w:numPr>
        <w:rPr>
          <w:iCs/>
        </w:rPr>
      </w:pPr>
      <w:r>
        <w:t xml:space="preserve"> </w:t>
      </w:r>
      <w:r w:rsidRPr="00F435E4">
        <w:rPr>
          <w:iCs/>
        </w:rPr>
        <w:t>Whilst the main criteria in assessing the attractiveness of the investment will be in respect to financial return and risk, the Council should give due consideration to those property investments which display</w:t>
      </w:r>
      <w:r>
        <w:rPr>
          <w:iCs/>
        </w:rPr>
        <w:t xml:space="preserve"> </w:t>
      </w:r>
      <w:r w:rsidRPr="00F435E4">
        <w:rPr>
          <w:iCs/>
        </w:rPr>
        <w:t>higher levels of environmental sustainability.</w:t>
      </w:r>
    </w:p>
    <w:p w:rsidR="00F75E26" w:rsidRDefault="00F75E26" w:rsidP="006F11F3"/>
    <w:p w:rsidR="00F75E26" w:rsidRDefault="00F75E26" w:rsidP="00F75E26">
      <w:pPr>
        <w:pStyle w:val="NoSpacing"/>
        <w:rPr>
          <w:b/>
        </w:rPr>
      </w:pPr>
      <w:r>
        <w:t xml:space="preserve"> </w:t>
      </w:r>
      <w:r w:rsidRPr="00F75E26">
        <w:rPr>
          <w:b/>
        </w:rPr>
        <w:t xml:space="preserve">FUTURE INVESTMENT OPPORTUNITIES  </w:t>
      </w:r>
    </w:p>
    <w:p w:rsidR="00763FEC" w:rsidRDefault="00763FEC" w:rsidP="00F75E26">
      <w:pPr>
        <w:pStyle w:val="NoSpacing"/>
        <w:rPr>
          <w:b/>
        </w:rPr>
      </w:pPr>
    </w:p>
    <w:p w:rsidR="00763FEC" w:rsidRDefault="00763FEC" w:rsidP="00763FEC">
      <w:pPr>
        <w:pStyle w:val="NoSpacing"/>
        <w:numPr>
          <w:ilvl w:val="0"/>
          <w:numId w:val="7"/>
        </w:numPr>
      </w:pPr>
      <w:r w:rsidRPr="0031393D">
        <w:t xml:space="preserve">In the MTFS it </w:t>
      </w:r>
      <w:r>
        <w:t>is proposed that part of the Borough Investment reserve is a</w:t>
      </w:r>
      <w:r w:rsidRPr="0031393D">
        <w:t xml:space="preserve">pplied to two capital items: </w:t>
      </w:r>
    </w:p>
    <w:p w:rsidR="00763FEC" w:rsidRDefault="00763FEC" w:rsidP="00763FEC">
      <w:pPr>
        <w:pStyle w:val="NoSpacing"/>
      </w:pPr>
    </w:p>
    <w:p w:rsidR="00763FEC" w:rsidRDefault="00763FEC" w:rsidP="00763FEC">
      <w:pPr>
        <w:pStyle w:val="NoSpacing"/>
        <w:numPr>
          <w:ilvl w:val="0"/>
          <w:numId w:val="27"/>
        </w:numPr>
      </w:pPr>
      <w:r>
        <w:t>t</w:t>
      </w:r>
      <w:r w:rsidRPr="0031393D">
        <w:t>he investment in Worden Hall</w:t>
      </w:r>
      <w:r>
        <w:t>,</w:t>
      </w:r>
      <w:r w:rsidRPr="0031393D">
        <w:t xml:space="preserve"> and</w:t>
      </w:r>
      <w:r>
        <w:t xml:space="preserve"> </w:t>
      </w:r>
    </w:p>
    <w:p w:rsidR="00763FEC" w:rsidRDefault="00763FEC" w:rsidP="00763FEC">
      <w:pPr>
        <w:pStyle w:val="NoSpacing"/>
        <w:numPr>
          <w:ilvl w:val="0"/>
          <w:numId w:val="27"/>
        </w:numPr>
      </w:pPr>
      <w:r w:rsidRPr="0031393D">
        <w:t>to cashflow a community loan (Hoole Village Hall)</w:t>
      </w:r>
    </w:p>
    <w:p w:rsidR="00763FEC" w:rsidRDefault="00763FEC" w:rsidP="00763FEC">
      <w:pPr>
        <w:pStyle w:val="NoSpacing"/>
        <w:ind w:left="360"/>
      </w:pPr>
    </w:p>
    <w:p w:rsidR="00763FEC" w:rsidRDefault="00763FEC" w:rsidP="00763FEC">
      <w:pPr>
        <w:pStyle w:val="NoSpacing"/>
        <w:ind w:left="284"/>
      </w:pPr>
      <w:r>
        <w:t xml:space="preserve"> These schemes are subject to Council approval as part of this agenda.</w:t>
      </w:r>
    </w:p>
    <w:p w:rsidR="00763FEC" w:rsidRDefault="00763FEC" w:rsidP="00763FEC">
      <w:pPr>
        <w:pStyle w:val="NoSpacing"/>
        <w:ind w:left="284"/>
      </w:pPr>
    </w:p>
    <w:p w:rsidR="00763FEC" w:rsidRDefault="00763FEC" w:rsidP="00763FEC">
      <w:pPr>
        <w:pStyle w:val="NoSpacing"/>
        <w:numPr>
          <w:ilvl w:val="0"/>
          <w:numId w:val="7"/>
        </w:numPr>
      </w:pPr>
      <w:r>
        <w:t xml:space="preserve">Both </w:t>
      </w:r>
      <w:r w:rsidRPr="0031393D">
        <w:t xml:space="preserve">initiatives </w:t>
      </w:r>
      <w:r>
        <w:t xml:space="preserve">are expected to </w:t>
      </w:r>
      <w:r w:rsidRPr="0031393D">
        <w:t>generate a payback to the Council</w:t>
      </w:r>
      <w:r>
        <w:t xml:space="preserve"> which would be repaid back into the Borough Investment reserve. If approved, the community loan will include annual repayment of capital and interest. By repaying these returns into the reserve, this recycling of the funds invested will serve to maintain the reserve in the longer-term and therefore ensure it be available for future investment opportunities in the Borough.</w:t>
      </w:r>
      <w:r w:rsidRPr="0031393D">
        <w:t xml:space="preserve"> </w:t>
      </w:r>
    </w:p>
    <w:p w:rsidR="00763FEC" w:rsidRDefault="00763FEC" w:rsidP="00763FEC">
      <w:pPr>
        <w:pStyle w:val="NoSpacing"/>
      </w:pPr>
    </w:p>
    <w:p w:rsidR="00763FEC" w:rsidRDefault="00763FEC" w:rsidP="00763FEC">
      <w:pPr>
        <w:pStyle w:val="NoSpacing"/>
        <w:numPr>
          <w:ilvl w:val="0"/>
          <w:numId w:val="7"/>
        </w:numPr>
      </w:pPr>
      <w:r>
        <w:t>It is forecast that after funding these two initiatives, there will be a balance of £2,274,000 in the Borough Investment Fund.</w:t>
      </w:r>
    </w:p>
    <w:p w:rsidR="00763FEC" w:rsidRDefault="00763FEC" w:rsidP="00F75E26">
      <w:pPr>
        <w:pStyle w:val="NoSpacing"/>
        <w:rPr>
          <w:b/>
        </w:rPr>
      </w:pPr>
    </w:p>
    <w:p w:rsidR="00F435E4" w:rsidRDefault="007D3075" w:rsidP="00F75E26">
      <w:pPr>
        <w:pStyle w:val="NoSpacing"/>
        <w:numPr>
          <w:ilvl w:val="0"/>
          <w:numId w:val="7"/>
        </w:numPr>
      </w:pPr>
      <w:r>
        <w:t>Regarding</w:t>
      </w:r>
      <w:r w:rsidR="00F435E4">
        <w:t xml:space="preserve"> the funds held, </w:t>
      </w:r>
      <w:r>
        <w:t>a</w:t>
      </w:r>
      <w:r w:rsidRPr="00F75E26">
        <w:t xml:space="preserve"> few</w:t>
      </w:r>
      <w:r w:rsidR="00F75E26" w:rsidRPr="00F75E26">
        <w:t xml:space="preserve"> areas </w:t>
      </w:r>
      <w:r w:rsidR="00F75E26">
        <w:t xml:space="preserve">of work have been identified which </w:t>
      </w:r>
      <w:r w:rsidR="00A35AEC">
        <w:t xml:space="preserve">could be considered </w:t>
      </w:r>
      <w:r w:rsidR="00F435E4">
        <w:t>for future investment.</w:t>
      </w:r>
    </w:p>
    <w:p w:rsidR="00F435E4" w:rsidRDefault="00F435E4" w:rsidP="00F435E4">
      <w:pPr>
        <w:pStyle w:val="NoSpacing"/>
      </w:pPr>
    </w:p>
    <w:p w:rsidR="00F435E4" w:rsidRPr="00F435E4" w:rsidRDefault="00F435E4" w:rsidP="00F435E4">
      <w:pPr>
        <w:pStyle w:val="ListParagraph"/>
        <w:numPr>
          <w:ilvl w:val="0"/>
          <w:numId w:val="29"/>
        </w:numPr>
        <w:rPr>
          <w:rFonts w:eastAsia="Times New Roman" w:cs="Arial"/>
        </w:rPr>
      </w:pPr>
      <w:r w:rsidRPr="00F435E4">
        <w:rPr>
          <w:rFonts w:eastAsia="Times New Roman" w:cs="Arial"/>
        </w:rPr>
        <w:t>Leyland town centre potential site acquisition and commercial development</w:t>
      </w:r>
    </w:p>
    <w:p w:rsidR="00F435E4" w:rsidRPr="00F435E4" w:rsidRDefault="00F435E4" w:rsidP="00F435E4">
      <w:pPr>
        <w:pStyle w:val="ListParagraph"/>
        <w:numPr>
          <w:ilvl w:val="0"/>
          <w:numId w:val="29"/>
        </w:numPr>
        <w:rPr>
          <w:rFonts w:eastAsia="Times New Roman" w:cs="Arial"/>
        </w:rPr>
      </w:pPr>
      <w:r w:rsidRPr="00F435E4">
        <w:rPr>
          <w:rFonts w:eastAsia="Times New Roman" w:cs="Arial"/>
        </w:rPr>
        <w:t>Purchase of homes for homebuild project</w:t>
      </w:r>
    </w:p>
    <w:p w:rsidR="00F435E4" w:rsidRPr="00F435E4" w:rsidRDefault="00F435E4" w:rsidP="00F435E4">
      <w:pPr>
        <w:pStyle w:val="ListParagraph"/>
        <w:numPr>
          <w:ilvl w:val="0"/>
          <w:numId w:val="29"/>
        </w:numPr>
        <w:rPr>
          <w:rFonts w:eastAsia="Times New Roman" w:cs="Arial"/>
        </w:rPr>
      </w:pPr>
      <w:r w:rsidRPr="00F435E4">
        <w:rPr>
          <w:rFonts w:eastAsia="Times New Roman" w:cs="Arial"/>
        </w:rPr>
        <w:t xml:space="preserve">Purchase of further commercial properties in Borough </w:t>
      </w:r>
    </w:p>
    <w:p w:rsidR="00F435E4" w:rsidRDefault="00F435E4" w:rsidP="00F435E4">
      <w:pPr>
        <w:pStyle w:val="ListParagraph"/>
        <w:numPr>
          <w:ilvl w:val="0"/>
          <w:numId w:val="29"/>
        </w:numPr>
        <w:rPr>
          <w:rFonts w:eastAsia="Times New Roman" w:cs="Arial"/>
        </w:rPr>
      </w:pPr>
      <w:r w:rsidRPr="00F435E4">
        <w:rPr>
          <w:rFonts w:eastAsia="Times New Roman" w:cs="Arial"/>
        </w:rPr>
        <w:t xml:space="preserve">Joint investments with other Lancashire authorities aimed at items in the </w:t>
      </w:r>
      <w:r w:rsidR="00574EEF" w:rsidRPr="00F435E4">
        <w:rPr>
          <w:rFonts w:eastAsia="Times New Roman" w:cs="Arial"/>
        </w:rPr>
        <w:t>emerging Greater</w:t>
      </w:r>
      <w:r w:rsidRPr="00F435E4">
        <w:rPr>
          <w:rFonts w:eastAsia="Times New Roman" w:cs="Arial"/>
        </w:rPr>
        <w:t xml:space="preserve"> </w:t>
      </w:r>
      <w:r w:rsidR="00574EEF" w:rsidRPr="00F435E4">
        <w:rPr>
          <w:rFonts w:eastAsia="Times New Roman" w:cs="Arial"/>
        </w:rPr>
        <w:t>Lancashire Plan</w:t>
      </w:r>
      <w:r w:rsidR="006F11F3">
        <w:rPr>
          <w:rFonts w:eastAsia="Times New Roman" w:cs="Arial"/>
        </w:rPr>
        <w:t xml:space="preserve"> </w:t>
      </w:r>
    </w:p>
    <w:p w:rsidR="007D3075" w:rsidRDefault="00F75E26" w:rsidP="007D3075">
      <w:pPr>
        <w:pStyle w:val="NoSpacing"/>
        <w:rPr>
          <w:b/>
        </w:rPr>
      </w:pPr>
      <w:r w:rsidRPr="007D3075">
        <w:rPr>
          <w:b/>
        </w:rPr>
        <w:t xml:space="preserve"> </w:t>
      </w:r>
    </w:p>
    <w:p w:rsidR="007D3075" w:rsidRDefault="007D3075" w:rsidP="007D3075">
      <w:pPr>
        <w:pStyle w:val="NoSpacing"/>
        <w:rPr>
          <w:rFonts w:eastAsia="Calibri"/>
          <w:b/>
        </w:rPr>
      </w:pPr>
    </w:p>
    <w:p w:rsidR="00350AAA" w:rsidRPr="007D3075" w:rsidRDefault="006F11F3" w:rsidP="007D3075">
      <w:pPr>
        <w:pStyle w:val="NoSpacing"/>
        <w:rPr>
          <w:rFonts w:eastAsia="Calibri"/>
          <w:b/>
        </w:rPr>
      </w:pPr>
      <w:r w:rsidRPr="007D3075">
        <w:rPr>
          <w:rFonts w:eastAsia="Calibri"/>
          <w:b/>
        </w:rPr>
        <w:t>S</w:t>
      </w:r>
      <w:r w:rsidR="00112672" w:rsidRPr="007D3075">
        <w:rPr>
          <w:rFonts w:eastAsia="Calibri"/>
          <w:b/>
        </w:rPr>
        <w:t xml:space="preserve">UMMARY </w:t>
      </w:r>
    </w:p>
    <w:p w:rsidR="00112672" w:rsidRDefault="00112672" w:rsidP="007D3075">
      <w:pPr>
        <w:pStyle w:val="NoSpacing"/>
        <w:rPr>
          <w:rFonts w:eastAsia="Calibri"/>
        </w:rPr>
      </w:pPr>
    </w:p>
    <w:p w:rsidR="00350AAA" w:rsidRPr="00350AAA" w:rsidRDefault="00350AAA" w:rsidP="007D3075">
      <w:pPr>
        <w:pStyle w:val="NoSpacing"/>
        <w:numPr>
          <w:ilvl w:val="0"/>
          <w:numId w:val="7"/>
        </w:numPr>
      </w:pPr>
      <w:r>
        <w:rPr>
          <w:rFonts w:ascii="ArialMT" w:hAnsi="ArialMT" w:cs="ArialMT"/>
        </w:rPr>
        <w:t>Back in 2017/18, i</w:t>
      </w:r>
      <w:r w:rsidRPr="00350AAA">
        <w:rPr>
          <w:rFonts w:ascii="ArialMT" w:hAnsi="ArialMT" w:cs="ArialMT"/>
        </w:rPr>
        <w:t xml:space="preserve">nvestment in commercial property was identified as a potential sustainable income stream for the Council and </w:t>
      </w:r>
      <w:r>
        <w:rPr>
          <w:rFonts w:ascii="ArialMT" w:hAnsi="ArialMT" w:cs="ArialMT"/>
        </w:rPr>
        <w:t xml:space="preserve">funding </w:t>
      </w:r>
      <w:r w:rsidRPr="00350AAA">
        <w:rPr>
          <w:rFonts w:ascii="ArialMT" w:hAnsi="ArialMT" w:cs="ArialMT"/>
        </w:rPr>
        <w:t>was earmarked for such investment</w:t>
      </w:r>
      <w:r>
        <w:rPr>
          <w:rFonts w:ascii="ArialMT" w:hAnsi="ArialMT" w:cs="ArialMT"/>
        </w:rPr>
        <w:t xml:space="preserve">. </w:t>
      </w:r>
      <w:r w:rsidRPr="00350AAA">
        <w:rPr>
          <w:rFonts w:ascii="ArialMT" w:hAnsi="ArialMT" w:cs="ArialMT"/>
        </w:rPr>
        <w:t xml:space="preserve">An income target </w:t>
      </w:r>
      <w:r>
        <w:rPr>
          <w:rFonts w:ascii="ArialMT" w:hAnsi="ArialMT" w:cs="ArialMT"/>
        </w:rPr>
        <w:t>was also i</w:t>
      </w:r>
      <w:r w:rsidRPr="00350AAA">
        <w:rPr>
          <w:rFonts w:ascii="ArialMT" w:hAnsi="ArialMT" w:cs="ArialMT"/>
        </w:rPr>
        <w:t xml:space="preserve">ncluded in the </w:t>
      </w:r>
      <w:r>
        <w:rPr>
          <w:rFonts w:ascii="ArialMT" w:hAnsi="ArialMT" w:cs="ArialMT"/>
        </w:rPr>
        <w:t>a</w:t>
      </w:r>
      <w:r w:rsidRPr="00350AAA">
        <w:rPr>
          <w:rFonts w:ascii="ArialMT" w:hAnsi="ArialMT" w:cs="ArialMT"/>
        </w:rPr>
        <w:t xml:space="preserve">pproved </w:t>
      </w:r>
      <w:r>
        <w:rPr>
          <w:rFonts w:ascii="ArialMT" w:hAnsi="ArialMT" w:cs="ArialMT"/>
        </w:rPr>
        <w:t xml:space="preserve">revenue </w:t>
      </w:r>
      <w:r w:rsidRPr="00350AAA">
        <w:rPr>
          <w:rFonts w:ascii="ArialMT" w:hAnsi="ArialMT" w:cs="ArialMT"/>
        </w:rPr>
        <w:t>budget</w:t>
      </w:r>
      <w:r>
        <w:rPr>
          <w:rFonts w:ascii="ArialMT" w:hAnsi="ArialMT" w:cs="ArialMT"/>
        </w:rPr>
        <w:t>s.</w:t>
      </w:r>
    </w:p>
    <w:p w:rsidR="00350AAA" w:rsidRPr="00AA706A" w:rsidRDefault="00350AAA" w:rsidP="007D3075">
      <w:pPr>
        <w:pStyle w:val="NoSpacing"/>
      </w:pPr>
    </w:p>
    <w:p w:rsidR="00AA706A" w:rsidRDefault="00AA706A" w:rsidP="00E52AFF">
      <w:pPr>
        <w:pStyle w:val="ListParagraph"/>
        <w:keepNext/>
        <w:numPr>
          <w:ilvl w:val="0"/>
          <w:numId w:val="7"/>
        </w:numPr>
        <w:autoSpaceDE w:val="0"/>
        <w:autoSpaceDN w:val="0"/>
        <w:adjustRightInd w:val="0"/>
        <w:spacing w:after="0"/>
        <w:rPr>
          <w:rFonts w:cs="Arial"/>
        </w:rPr>
      </w:pPr>
      <w:r w:rsidRPr="00F435E4">
        <w:rPr>
          <w:rFonts w:cs="Arial"/>
        </w:rPr>
        <w:lastRenderedPageBreak/>
        <w:t>The revised strategy recognises that the scope needs to be widened to incorporate investments which, as well as providing a return and a repayment back into the Borough Investment Fund, also have broader social and community benefits.</w:t>
      </w:r>
    </w:p>
    <w:p w:rsidR="00F435E4" w:rsidRPr="00F435E4" w:rsidRDefault="00F435E4" w:rsidP="00F435E4">
      <w:pPr>
        <w:keepNext/>
        <w:autoSpaceDE w:val="0"/>
        <w:autoSpaceDN w:val="0"/>
        <w:adjustRightInd w:val="0"/>
        <w:spacing w:after="0"/>
        <w:rPr>
          <w:rFonts w:cs="Arial"/>
        </w:rPr>
      </w:pPr>
    </w:p>
    <w:p w:rsidR="00350AAA" w:rsidRPr="00350AAA" w:rsidRDefault="00AA706A" w:rsidP="00350AAA">
      <w:pPr>
        <w:pStyle w:val="ListParagraph"/>
        <w:keepNext/>
        <w:numPr>
          <w:ilvl w:val="0"/>
          <w:numId w:val="7"/>
        </w:numPr>
        <w:autoSpaceDE w:val="0"/>
        <w:autoSpaceDN w:val="0"/>
        <w:adjustRightInd w:val="0"/>
        <w:spacing w:after="0"/>
        <w:rPr>
          <w:rFonts w:cs="Arial"/>
          <w:b/>
        </w:rPr>
      </w:pPr>
      <w:r>
        <w:rPr>
          <w:rFonts w:cs="Arial"/>
        </w:rPr>
        <w:t xml:space="preserve">Maintaining the Borough Investment Fund provides opportunities for further investment and potential additional returns which could provide sustainable income streams in the future.     </w:t>
      </w:r>
    </w:p>
    <w:p w:rsidR="00E83842" w:rsidRPr="00E83842" w:rsidRDefault="00E83842" w:rsidP="00E83842">
      <w:pPr>
        <w:keepNext/>
        <w:spacing w:after="0" w:line="256" w:lineRule="auto"/>
        <w:contextualSpacing/>
        <w:rPr>
          <w:rFonts w:ascii="Arial" w:eastAsia="Calibri" w:hAnsi="Arial" w:cs="Arial"/>
          <w:b/>
        </w:rPr>
      </w:pPr>
    </w:p>
    <w:p w:rsidR="00E83842" w:rsidRPr="00E83842" w:rsidRDefault="00E83842" w:rsidP="00E83842">
      <w:pPr>
        <w:keepNext/>
        <w:spacing w:after="0" w:line="0" w:lineRule="atLeast"/>
        <w:rPr>
          <w:rFonts w:ascii="Arial" w:eastAsia="Times New Roman" w:hAnsi="Arial" w:cs="Arial"/>
          <w:b/>
          <w:szCs w:val="20"/>
          <w:lang w:eastAsia="en-GB"/>
        </w:rPr>
      </w:pPr>
    </w:p>
    <w:p w:rsidR="00E83842" w:rsidRPr="00E83842" w:rsidRDefault="006A5652" w:rsidP="00E83842">
      <w:pPr>
        <w:keepNext/>
        <w:spacing w:after="0" w:line="240" w:lineRule="auto"/>
        <w:rPr>
          <w:rFonts w:ascii="Arial" w:eastAsia="Times New Roman" w:hAnsi="Arial" w:cs="Arial"/>
          <w:b/>
          <w:szCs w:val="20"/>
          <w:lang w:eastAsia="en-GB"/>
        </w:rPr>
      </w:pPr>
      <w:r>
        <w:rPr>
          <w:rFonts w:ascii="Arial" w:eastAsia="Times New Roman" w:hAnsi="Arial" w:cs="Arial"/>
          <w:b/>
          <w:szCs w:val="20"/>
          <w:lang w:eastAsia="en-GB"/>
        </w:rPr>
        <w:t>B</w:t>
      </w:r>
      <w:r w:rsidR="00E83842" w:rsidRPr="00E83842">
        <w:rPr>
          <w:rFonts w:ascii="Arial" w:eastAsia="Times New Roman" w:hAnsi="Arial" w:cs="Arial"/>
          <w:b/>
          <w:szCs w:val="20"/>
          <w:lang w:eastAsia="en-GB"/>
        </w:rPr>
        <w:t xml:space="preserve">ACKGROUND DOCUMENTS </w:t>
      </w:r>
    </w:p>
    <w:p w:rsidR="00E83842" w:rsidRPr="00E83842" w:rsidRDefault="00E83842" w:rsidP="00E83842">
      <w:pPr>
        <w:keepNext/>
        <w:spacing w:after="0" w:line="240" w:lineRule="auto"/>
        <w:rPr>
          <w:rFonts w:ascii="Arial" w:eastAsia="Times New Roman" w:hAnsi="Arial" w:cs="Arial"/>
          <w:b/>
          <w:szCs w:val="20"/>
          <w:lang w:eastAsia="en-GB"/>
        </w:rPr>
      </w:pPr>
    </w:p>
    <w:p w:rsidR="00E83842" w:rsidRPr="00E83842" w:rsidRDefault="00E83842" w:rsidP="00F435E4">
      <w:pPr>
        <w:keepNext/>
        <w:spacing w:after="0" w:line="240" w:lineRule="auto"/>
        <w:rPr>
          <w:rFonts w:ascii="Arial" w:eastAsia="Times New Roman" w:hAnsi="Arial" w:cs="Times New Roman"/>
          <w:szCs w:val="20"/>
          <w:lang w:eastAsia="en-GB"/>
        </w:rPr>
      </w:pPr>
      <w:r w:rsidRPr="00E83842">
        <w:rPr>
          <w:rFonts w:ascii="Arial" w:eastAsia="Times New Roman" w:hAnsi="Arial" w:cs="Times New Roman"/>
          <w:szCs w:val="20"/>
          <w:lang w:eastAsia="en-GB"/>
        </w:rPr>
        <w:t xml:space="preserve">Cabinet </w:t>
      </w:r>
      <w:r w:rsidR="00E60222">
        <w:rPr>
          <w:rFonts w:ascii="Arial" w:eastAsia="Times New Roman" w:hAnsi="Arial" w:cs="Times New Roman"/>
          <w:szCs w:val="20"/>
          <w:lang w:eastAsia="en-GB"/>
        </w:rPr>
        <w:t>21</w:t>
      </w:r>
      <w:r w:rsidRPr="00E83842">
        <w:rPr>
          <w:rFonts w:ascii="Arial" w:eastAsia="Times New Roman" w:hAnsi="Arial" w:cs="Times New Roman"/>
          <w:szCs w:val="20"/>
          <w:lang w:eastAsia="en-GB"/>
        </w:rPr>
        <w:t xml:space="preserve"> </w:t>
      </w:r>
      <w:r w:rsidR="00E60222">
        <w:rPr>
          <w:rFonts w:ascii="Arial" w:eastAsia="Times New Roman" w:hAnsi="Arial" w:cs="Times New Roman"/>
          <w:szCs w:val="20"/>
          <w:lang w:eastAsia="en-GB"/>
        </w:rPr>
        <w:t>June 2018 –</w:t>
      </w:r>
      <w:r w:rsidRPr="00E83842">
        <w:rPr>
          <w:rFonts w:ascii="Arial" w:eastAsia="Times New Roman" w:hAnsi="Arial" w:cs="Times New Roman"/>
          <w:szCs w:val="20"/>
          <w:lang w:eastAsia="en-GB"/>
        </w:rPr>
        <w:t xml:space="preserve"> </w:t>
      </w:r>
      <w:r w:rsidR="00E60222">
        <w:rPr>
          <w:rFonts w:ascii="Arial" w:eastAsia="Times New Roman" w:hAnsi="Arial" w:cs="Times New Roman"/>
          <w:szCs w:val="20"/>
          <w:lang w:eastAsia="en-GB"/>
        </w:rPr>
        <w:t xml:space="preserve">Investment Property Strategy </w:t>
      </w:r>
    </w:p>
    <w:p w:rsidR="00844F5B" w:rsidRDefault="00844F5B"/>
    <w:sectPr w:rsidR="00844F5B" w:rsidSect="00F435E4">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EC5"/>
    <w:multiLevelType w:val="hybridMultilevel"/>
    <w:tmpl w:val="846E05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B4B95"/>
    <w:multiLevelType w:val="hybridMultilevel"/>
    <w:tmpl w:val="AE9C23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FA6C9136"/>
    <w:lvl w:ilvl="0">
      <w:start w:val="1"/>
      <w:numFmt w:val="decimal"/>
      <w:lvlText w:val="%1."/>
      <w:lvlJc w:val="left"/>
      <w:pPr>
        <w:ind w:left="360" w:hanging="360"/>
      </w:pPr>
      <w:rPr>
        <w:b/>
        <w:i w:val="0"/>
        <w:color w:val="auto"/>
      </w:rPr>
    </w:lvl>
    <w:lvl w:ilvl="1">
      <w:start w:val="1"/>
      <w:numFmt w:val="decimal"/>
      <w:isLgl/>
      <w:lvlText w:val="%1.%2"/>
      <w:lvlJc w:val="left"/>
      <w:pPr>
        <w:ind w:left="72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 w15:restartNumberingAfterBreak="0">
    <w:nsid w:val="1A490970"/>
    <w:multiLevelType w:val="hybridMultilevel"/>
    <w:tmpl w:val="9B023C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81071A"/>
    <w:multiLevelType w:val="hybridMultilevel"/>
    <w:tmpl w:val="5ACA5F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9C7606"/>
    <w:multiLevelType w:val="hybridMultilevel"/>
    <w:tmpl w:val="22BE3068"/>
    <w:lvl w:ilvl="0" w:tplc="221001B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9880389"/>
    <w:multiLevelType w:val="hybridMultilevel"/>
    <w:tmpl w:val="DF72B07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B273EDF"/>
    <w:multiLevelType w:val="hybridMultilevel"/>
    <w:tmpl w:val="49CC7E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E0B2684"/>
    <w:multiLevelType w:val="hybridMultilevel"/>
    <w:tmpl w:val="7AF479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403282"/>
    <w:multiLevelType w:val="hybridMultilevel"/>
    <w:tmpl w:val="381CDEA8"/>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8304F5A"/>
    <w:multiLevelType w:val="hybridMultilevel"/>
    <w:tmpl w:val="215E6AC2"/>
    <w:lvl w:ilvl="0" w:tplc="FFFFFFFF">
      <w:start w:val="1"/>
      <w:numFmt w:val="bullet"/>
      <w:lvlText w:val=""/>
      <w:lvlJc w:val="left"/>
      <w:pPr>
        <w:ind w:left="1222" w:hanging="360"/>
      </w:pPr>
      <w:rPr>
        <w:rFonts w:ascii="Symbol" w:hAnsi="Symbol" w:hint="default"/>
        <w:color w:val="auto"/>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11" w15:restartNumberingAfterBreak="0">
    <w:nsid w:val="3AD00D6D"/>
    <w:multiLevelType w:val="hybridMultilevel"/>
    <w:tmpl w:val="88BAABE4"/>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B5D16CD"/>
    <w:multiLevelType w:val="hybridMultilevel"/>
    <w:tmpl w:val="C3B6CF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C7013C"/>
    <w:multiLevelType w:val="hybridMultilevel"/>
    <w:tmpl w:val="C07CF812"/>
    <w:lvl w:ilvl="0" w:tplc="FFFFFFFF">
      <w:start w:val="1"/>
      <w:numFmt w:val="bullet"/>
      <w:lvlText w:val=""/>
      <w:lvlJc w:val="left"/>
      <w:pPr>
        <w:ind w:left="502" w:hanging="360"/>
      </w:pPr>
      <w:rPr>
        <w:rFonts w:ascii="Symbol" w:hAnsi="Symbol" w:hint="default"/>
        <w:b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BEE67DD"/>
    <w:multiLevelType w:val="hybridMultilevel"/>
    <w:tmpl w:val="872C31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0A7B75"/>
    <w:multiLevelType w:val="hybridMultilevel"/>
    <w:tmpl w:val="7292A50E"/>
    <w:lvl w:ilvl="0" w:tplc="FFFFFFFF">
      <w:start w:val="1"/>
      <w:numFmt w:val="bullet"/>
      <w:lvlText w:val=""/>
      <w:lvlJc w:val="left"/>
      <w:pPr>
        <w:ind w:left="785"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68A687D"/>
    <w:multiLevelType w:val="hybridMultilevel"/>
    <w:tmpl w:val="7520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66175"/>
    <w:multiLevelType w:val="hybridMultilevel"/>
    <w:tmpl w:val="8F703A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D054CF4"/>
    <w:multiLevelType w:val="hybridMultilevel"/>
    <w:tmpl w:val="7B2246A8"/>
    <w:lvl w:ilvl="0" w:tplc="FFFFFFFF">
      <w:start w:val="1"/>
      <w:numFmt w:val="bullet"/>
      <w:lvlText w:val=""/>
      <w:lvlJc w:val="left"/>
      <w:pPr>
        <w:ind w:left="780" w:hanging="360"/>
      </w:pPr>
      <w:rPr>
        <w:rFonts w:ascii="Symbol" w:hAnsi="Symbol" w:hint="default"/>
        <w:color w:val="auto"/>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9" w15:restartNumberingAfterBreak="0">
    <w:nsid w:val="68BD5AF7"/>
    <w:multiLevelType w:val="hybridMultilevel"/>
    <w:tmpl w:val="EC762908"/>
    <w:lvl w:ilvl="0" w:tplc="FFFFFFFF">
      <w:start w:val="1"/>
      <w:numFmt w:val="upperLetter"/>
      <w:lvlText w:val="%1."/>
      <w:lvlJc w:val="left"/>
      <w:pPr>
        <w:ind w:left="319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4841BA"/>
    <w:multiLevelType w:val="hybridMultilevel"/>
    <w:tmpl w:val="8D381A08"/>
    <w:lvl w:ilvl="0" w:tplc="FEDE3272">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B65C7"/>
    <w:multiLevelType w:val="hybridMultilevel"/>
    <w:tmpl w:val="A5B4833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F1B3696"/>
    <w:multiLevelType w:val="hybridMultilevel"/>
    <w:tmpl w:val="9378C6E0"/>
    <w:lvl w:ilvl="0" w:tplc="FFFFFFFF">
      <w:start w:val="1"/>
      <w:numFmt w:val="decimal"/>
      <w:lvlText w:val="%1."/>
      <w:lvlJc w:val="left"/>
      <w:pPr>
        <w:ind w:left="643"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B339A4"/>
    <w:multiLevelType w:val="hybridMultilevel"/>
    <w:tmpl w:val="CA1C48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3D6E5F"/>
    <w:multiLevelType w:val="hybridMultilevel"/>
    <w:tmpl w:val="EA708672"/>
    <w:lvl w:ilvl="0" w:tplc="FFFFFFFF">
      <w:start w:val="1"/>
      <w:numFmt w:val="bullet"/>
      <w:lvlText w:val=""/>
      <w:lvlJc w:val="left"/>
      <w:pPr>
        <w:ind w:left="990" w:hanging="360"/>
      </w:pPr>
      <w:rPr>
        <w:rFonts w:ascii="Symbol" w:hAnsi="Symbol"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5" w15:restartNumberingAfterBreak="0">
    <w:nsid w:val="75C30FAA"/>
    <w:multiLevelType w:val="hybridMultilevel"/>
    <w:tmpl w:val="1B4A31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40324F"/>
    <w:multiLevelType w:val="hybridMultilevel"/>
    <w:tmpl w:val="9F4A4734"/>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630EE4"/>
    <w:multiLevelType w:val="hybridMultilevel"/>
    <w:tmpl w:val="D12C2B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02022D"/>
    <w:multiLevelType w:val="hybridMultilevel"/>
    <w:tmpl w:val="4EBC17BE"/>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9" w15:restartNumberingAfterBreak="0">
    <w:nsid w:val="7BE97574"/>
    <w:multiLevelType w:val="hybridMultilevel"/>
    <w:tmpl w:val="6688F6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3"/>
  </w:num>
  <w:num w:numId="3">
    <w:abstractNumId w:val="6"/>
  </w:num>
  <w:num w:numId="4">
    <w:abstractNumId w:val="7"/>
  </w:num>
  <w:num w:numId="5">
    <w:abstractNumId w:val="21"/>
  </w:num>
  <w:num w:numId="6">
    <w:abstractNumId w:val="4"/>
  </w:num>
  <w:num w:numId="7">
    <w:abstractNumId w:val="9"/>
  </w:num>
  <w:num w:numId="8">
    <w:abstractNumId w:val="19"/>
  </w:num>
  <w:num w:numId="9">
    <w:abstractNumId w:val="26"/>
  </w:num>
  <w:num w:numId="10">
    <w:abstractNumId w:val="14"/>
  </w:num>
  <w:num w:numId="11">
    <w:abstractNumId w:val="0"/>
  </w:num>
  <w:num w:numId="12">
    <w:abstractNumId w:val="15"/>
  </w:num>
  <w:num w:numId="13">
    <w:abstractNumId w:val="10"/>
  </w:num>
  <w:num w:numId="14">
    <w:abstractNumId w:val="27"/>
  </w:num>
  <w:num w:numId="15">
    <w:abstractNumId w:val="1"/>
  </w:num>
  <w:num w:numId="16">
    <w:abstractNumId w:val="8"/>
  </w:num>
  <w:num w:numId="17">
    <w:abstractNumId w:val="3"/>
  </w:num>
  <w:num w:numId="18">
    <w:abstractNumId w:val="24"/>
  </w:num>
  <w:num w:numId="19">
    <w:abstractNumId w:val="28"/>
  </w:num>
  <w:num w:numId="20">
    <w:abstractNumId w:val="22"/>
  </w:num>
  <w:num w:numId="21">
    <w:abstractNumId w:val="25"/>
  </w:num>
  <w:num w:numId="22">
    <w:abstractNumId w:val="12"/>
  </w:num>
  <w:num w:numId="23">
    <w:abstractNumId w:val="18"/>
  </w:num>
  <w:num w:numId="24">
    <w:abstractNumId w:val="17"/>
  </w:num>
  <w:num w:numId="25">
    <w:abstractNumId w:val="17"/>
  </w:num>
  <w:num w:numId="26">
    <w:abstractNumId w:val="11"/>
  </w:num>
  <w:num w:numId="27">
    <w:abstractNumId w:val="20"/>
  </w:num>
  <w:num w:numId="28">
    <w:abstractNumId w:val="5"/>
  </w:num>
  <w:num w:numId="29">
    <w:abstractNumId w:val="16"/>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42"/>
    <w:rsid w:val="00011083"/>
    <w:rsid w:val="00060576"/>
    <w:rsid w:val="00096DE9"/>
    <w:rsid w:val="000A5189"/>
    <w:rsid w:val="000D2AFD"/>
    <w:rsid w:val="00112672"/>
    <w:rsid w:val="0014194E"/>
    <w:rsid w:val="00163FA5"/>
    <w:rsid w:val="002A4491"/>
    <w:rsid w:val="0031393D"/>
    <w:rsid w:val="00345D9C"/>
    <w:rsid w:val="00350AAA"/>
    <w:rsid w:val="003569EE"/>
    <w:rsid w:val="00442E7C"/>
    <w:rsid w:val="00451045"/>
    <w:rsid w:val="00574EEF"/>
    <w:rsid w:val="006A5652"/>
    <w:rsid w:val="006F11F3"/>
    <w:rsid w:val="007172C6"/>
    <w:rsid w:val="00763FEC"/>
    <w:rsid w:val="007831D8"/>
    <w:rsid w:val="007A49F5"/>
    <w:rsid w:val="007D3075"/>
    <w:rsid w:val="00844F5B"/>
    <w:rsid w:val="00924567"/>
    <w:rsid w:val="009757C0"/>
    <w:rsid w:val="00A35AEC"/>
    <w:rsid w:val="00A50F88"/>
    <w:rsid w:val="00AA706A"/>
    <w:rsid w:val="00AB5805"/>
    <w:rsid w:val="00AE61B3"/>
    <w:rsid w:val="00B54766"/>
    <w:rsid w:val="00BE1929"/>
    <w:rsid w:val="00CE034E"/>
    <w:rsid w:val="00D42AEE"/>
    <w:rsid w:val="00D4375D"/>
    <w:rsid w:val="00D45EA2"/>
    <w:rsid w:val="00D56D26"/>
    <w:rsid w:val="00E60222"/>
    <w:rsid w:val="00E83842"/>
    <w:rsid w:val="00F165CB"/>
    <w:rsid w:val="00F24E1D"/>
    <w:rsid w:val="00F435E4"/>
    <w:rsid w:val="00F71451"/>
    <w:rsid w:val="00F75E26"/>
    <w:rsid w:val="00FC2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7431"/>
  <w15:chartTrackingRefBased/>
  <w15:docId w15:val="{9773AC53-280D-4E28-9D26-270A396E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842"/>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42"/>
    <w:rPr>
      <w:rFonts w:ascii="Calibri Light" w:eastAsia="Times New Roman" w:hAnsi="Calibri Light" w:cs="Times New Roman"/>
      <w:b/>
      <w:bCs/>
      <w:kern w:val="32"/>
      <w:sz w:val="32"/>
      <w:szCs w:val="32"/>
      <w:lang w:eastAsia="en-GB"/>
    </w:rPr>
  </w:style>
  <w:style w:type="numbering" w:customStyle="1" w:styleId="NoList1">
    <w:name w:val="No List1"/>
    <w:next w:val="NoList"/>
    <w:uiPriority w:val="99"/>
    <w:semiHidden/>
    <w:unhideWhenUsed/>
    <w:rsid w:val="00E83842"/>
  </w:style>
  <w:style w:type="paragraph" w:styleId="ListParagraph">
    <w:name w:val="List Paragraph"/>
    <w:basedOn w:val="Normal"/>
    <w:uiPriority w:val="34"/>
    <w:qFormat/>
    <w:rsid w:val="00E83842"/>
    <w:pPr>
      <w:spacing w:line="256" w:lineRule="auto"/>
      <w:ind w:left="720"/>
      <w:contextualSpacing/>
    </w:pPr>
    <w:rPr>
      <w:rFonts w:ascii="Arial" w:eastAsia="Calibri" w:hAnsi="Arial" w:cs="Times New Roman"/>
    </w:rPr>
  </w:style>
  <w:style w:type="table" w:styleId="TableGrid">
    <w:name w:val="Table Grid"/>
    <w:basedOn w:val="TableNormal"/>
    <w:uiPriority w:val="59"/>
    <w:rsid w:val="00E838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842"/>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E83842"/>
    <w:rPr>
      <w:rFonts w:ascii="Segoe UI" w:eastAsia="Times New Roman" w:hAnsi="Segoe UI" w:cs="Segoe UI"/>
      <w:sz w:val="18"/>
      <w:szCs w:val="18"/>
      <w:lang w:eastAsia="en-GB"/>
    </w:rPr>
  </w:style>
  <w:style w:type="paragraph" w:styleId="NoSpacing">
    <w:name w:val="No Spacing"/>
    <w:uiPriority w:val="1"/>
    <w:qFormat/>
    <w:rsid w:val="00E83842"/>
    <w:pPr>
      <w:spacing w:after="0" w:line="240" w:lineRule="auto"/>
    </w:pPr>
    <w:rPr>
      <w:rFonts w:ascii="Arial" w:eastAsia="Times New Roman" w:hAnsi="Arial" w:cs="Times New Roman"/>
      <w:szCs w:val="20"/>
      <w:lang w:eastAsia="en-GB"/>
    </w:rPr>
  </w:style>
  <w:style w:type="character" w:styleId="Strong">
    <w:name w:val="Strong"/>
    <w:uiPriority w:val="22"/>
    <w:qFormat/>
    <w:rsid w:val="00E83842"/>
    <w:rPr>
      <w:b/>
    </w:rPr>
  </w:style>
  <w:style w:type="paragraph" w:customStyle="1" w:styleId="paragraph">
    <w:name w:val="paragraph"/>
    <w:basedOn w:val="Normal"/>
    <w:rsid w:val="00E83842"/>
    <w:pPr>
      <w:spacing w:before="100" w:beforeAutospacing="1" w:after="100" w:afterAutospacing="1" w:line="240" w:lineRule="auto"/>
    </w:pPr>
    <w:rPr>
      <w:rFonts w:ascii="Calibri" w:eastAsia="Calibri" w:hAnsi="Calibri" w:cs="Times New Roman"/>
      <w:lang w:eastAsia="en-GB"/>
    </w:rPr>
  </w:style>
  <w:style w:type="character" w:customStyle="1" w:styleId="normaltextrun">
    <w:name w:val="normaltextrun"/>
    <w:rsid w:val="00E83842"/>
  </w:style>
  <w:style w:type="character" w:customStyle="1" w:styleId="eop">
    <w:name w:val="eop"/>
    <w:rsid w:val="00E83842"/>
  </w:style>
  <w:style w:type="paragraph" w:styleId="Revision">
    <w:name w:val="Revision"/>
    <w:hidden/>
    <w:uiPriority w:val="99"/>
    <w:semiHidden/>
    <w:rsid w:val="00E83842"/>
    <w:pPr>
      <w:spacing w:after="0" w:line="240" w:lineRule="auto"/>
    </w:pPr>
    <w:rPr>
      <w:rFonts w:ascii="Arial" w:eastAsia="Times New Roman" w:hAnsi="Arial" w:cs="Times New Roman"/>
      <w:szCs w:val="20"/>
      <w:lang w:eastAsia="en-GB"/>
    </w:rPr>
  </w:style>
  <w:style w:type="character" w:styleId="CommentReference">
    <w:name w:val="annotation reference"/>
    <w:uiPriority w:val="99"/>
    <w:semiHidden/>
    <w:unhideWhenUsed/>
    <w:rsid w:val="00E83842"/>
    <w:rPr>
      <w:sz w:val="16"/>
      <w:szCs w:val="16"/>
    </w:rPr>
  </w:style>
  <w:style w:type="paragraph" w:styleId="CommentText">
    <w:name w:val="annotation text"/>
    <w:basedOn w:val="Normal"/>
    <w:link w:val="CommentTextChar"/>
    <w:uiPriority w:val="99"/>
    <w:semiHidden/>
    <w:unhideWhenUsed/>
    <w:rsid w:val="00E83842"/>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E8384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3842"/>
    <w:rPr>
      <w:b/>
      <w:bCs/>
    </w:rPr>
  </w:style>
  <w:style w:type="character" w:customStyle="1" w:styleId="CommentSubjectChar">
    <w:name w:val="Comment Subject Char"/>
    <w:basedOn w:val="CommentTextChar"/>
    <w:link w:val="CommentSubject"/>
    <w:uiPriority w:val="99"/>
    <w:semiHidden/>
    <w:rsid w:val="00E8384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60542">
      <w:bodyDiv w:val="1"/>
      <w:marLeft w:val="0"/>
      <w:marRight w:val="0"/>
      <w:marTop w:val="0"/>
      <w:marBottom w:val="0"/>
      <w:divBdr>
        <w:top w:val="none" w:sz="0" w:space="0" w:color="auto"/>
        <w:left w:val="none" w:sz="0" w:space="0" w:color="auto"/>
        <w:bottom w:val="none" w:sz="0" w:space="0" w:color="auto"/>
        <w:right w:val="none" w:sz="0" w:space="0" w:color="auto"/>
      </w:divBdr>
    </w:div>
    <w:div w:id="9655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31DB-C428-438B-A14F-26579E75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Blundell, Jane</dc:creator>
  <cp:keywords/>
  <dc:description/>
  <cp:lastModifiedBy>Blundell, Jane</cp:lastModifiedBy>
  <cp:revision>18</cp:revision>
  <dcterms:created xsi:type="dcterms:W3CDTF">2020-02-13T13:56:00Z</dcterms:created>
  <dcterms:modified xsi:type="dcterms:W3CDTF">2020-02-14T14:09:00Z</dcterms:modified>
</cp:coreProperties>
</file>